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E6" w:rsidRPr="0058372F" w:rsidRDefault="00880AE6" w:rsidP="00880A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mallCaps/>
          <w:color w:val="000000"/>
          <w:sz w:val="28"/>
          <w:szCs w:val="24"/>
          <w:u w:val="single"/>
        </w:rPr>
      </w:pPr>
      <w:r w:rsidRPr="0058372F">
        <w:rPr>
          <w:rFonts w:cstheme="minorHAnsi"/>
          <w:bCs/>
          <w:smallCaps/>
          <w:color w:val="000000"/>
          <w:sz w:val="28"/>
          <w:szCs w:val="24"/>
          <w:u w:val="single"/>
        </w:rPr>
        <w:t>Internal Assessment Guidelines (Syllabus 2022 onwards)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880AE6">
        <w:rPr>
          <w:rFonts w:cstheme="minorHAnsi"/>
          <w:b/>
          <w:bCs/>
          <w:color w:val="000000"/>
          <w:sz w:val="24"/>
          <w:szCs w:val="24"/>
        </w:rPr>
        <w:t>Rationale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jc w:val="both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Internal assessment in economics enables students to demonstrate the application of their knowledge and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>understanding of economic theory in relation to real-world situations.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880AE6">
        <w:rPr>
          <w:rFonts w:cstheme="minorHAnsi"/>
          <w:b/>
          <w:bCs/>
          <w:color w:val="000000"/>
          <w:sz w:val="24"/>
          <w:szCs w:val="24"/>
        </w:rPr>
        <w:t>Requirements</w:t>
      </w:r>
    </w:p>
    <w:p w:rsidR="00880AE6" w:rsidRPr="009610E6" w:rsidRDefault="00880AE6" w:rsidP="00880AE6">
      <w:pPr>
        <w:autoSpaceDE w:val="0"/>
        <w:autoSpaceDN w:val="0"/>
        <w:adjustRightInd w:val="0"/>
        <w:spacing w:after="0" w:line="240" w:lineRule="auto"/>
        <w:jc w:val="both"/>
        <w:rPr>
          <w:rFonts w:eastAsia="MyriadPro-Regular" w:cstheme="minorHAnsi"/>
          <w:i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 xml:space="preserve">Both SL and HL economics students produce a portfolio of </w:t>
      </w:r>
      <w:r w:rsidRPr="00880AE6">
        <w:rPr>
          <w:rFonts w:cstheme="minorHAnsi"/>
          <w:b/>
          <w:bCs/>
          <w:color w:val="000000"/>
          <w:sz w:val="24"/>
          <w:szCs w:val="24"/>
        </w:rPr>
        <w:t xml:space="preserve">three </w:t>
      </w:r>
      <w:r w:rsidRPr="00880AE6">
        <w:rPr>
          <w:rFonts w:eastAsia="MyriadPro-Regular" w:cstheme="minorHAnsi"/>
          <w:color w:val="000000"/>
          <w:sz w:val="24"/>
          <w:szCs w:val="24"/>
        </w:rPr>
        <w:t>commentaries based on articles from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 xml:space="preserve">published news media. Each article </w:t>
      </w:r>
      <w:r w:rsidRPr="00880AE6">
        <w:rPr>
          <w:rFonts w:cstheme="minorHAnsi"/>
          <w:b/>
          <w:bCs/>
          <w:color w:val="000000"/>
          <w:sz w:val="24"/>
          <w:szCs w:val="24"/>
        </w:rPr>
        <w:t xml:space="preserve">must </w:t>
      </w:r>
      <w:r w:rsidRPr="00880AE6">
        <w:rPr>
          <w:rFonts w:eastAsia="MyriadPro-Regular" w:cstheme="minorHAnsi"/>
          <w:color w:val="000000"/>
          <w:sz w:val="24"/>
          <w:szCs w:val="24"/>
        </w:rPr>
        <w:t>be based on a different unit of the syllabus (excluding Unit 1: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 xml:space="preserve">Introduction to economics): </w:t>
      </w:r>
      <w:r w:rsidRPr="009610E6">
        <w:rPr>
          <w:rFonts w:eastAsia="MyriadPro-Regular" w:cstheme="minorHAnsi"/>
          <w:i/>
          <w:color w:val="000000"/>
          <w:sz w:val="24"/>
          <w:szCs w:val="24"/>
        </w:rPr>
        <w:t xml:space="preserve">Unit 2: Microeconomics, Unit 3: Macroeconomics and Unit 4: The </w:t>
      </w:r>
      <w:r w:rsidR="009610E6">
        <w:rPr>
          <w:rFonts w:eastAsia="MyriadPro-Regular" w:cstheme="minorHAnsi"/>
          <w:i/>
          <w:color w:val="000000"/>
          <w:sz w:val="24"/>
          <w:szCs w:val="24"/>
        </w:rPr>
        <w:t>G</w:t>
      </w:r>
      <w:r w:rsidRPr="009610E6">
        <w:rPr>
          <w:rFonts w:eastAsia="MyriadPro-Regular" w:cstheme="minorHAnsi"/>
          <w:i/>
          <w:color w:val="000000"/>
          <w:sz w:val="24"/>
          <w:szCs w:val="24"/>
        </w:rPr>
        <w:t>lobal economy.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880AE6">
        <w:rPr>
          <w:rFonts w:cstheme="minorHAnsi"/>
          <w:b/>
          <w:bCs/>
          <w:color w:val="000000"/>
          <w:sz w:val="24"/>
          <w:szCs w:val="24"/>
        </w:rPr>
        <w:t>Articles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jc w:val="both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The articles may be from a newspaper, a journal or the internet, but must not be from television or radio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>broadcasts. If a student includes a relatively lengthy article, which is discouraged, the student must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 xml:space="preserve">highlight the section(s) of the article upon which the </w:t>
      </w:r>
      <w:r>
        <w:rPr>
          <w:rFonts w:eastAsia="MyriadPro-Regular" w:cstheme="minorHAnsi"/>
          <w:color w:val="000000"/>
          <w:sz w:val="24"/>
          <w:szCs w:val="24"/>
        </w:rPr>
        <w:t>c</w:t>
      </w:r>
      <w:r w:rsidRPr="00880AE6">
        <w:rPr>
          <w:rFonts w:eastAsia="MyriadPro-Regular" w:cstheme="minorHAnsi"/>
          <w:color w:val="000000"/>
          <w:sz w:val="24"/>
          <w:szCs w:val="24"/>
        </w:rPr>
        <w:t>ommentary is based. Articles used must have been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>published no earlier than one year before the writing of the commentary.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>The article on which the commentary is based should, where possible, be in the same language as the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>commentary. If an extract in another language is used, the student must provide an accurate translation of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>the whole article. Students must also include the original article in their portfolio.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880AE6">
        <w:rPr>
          <w:rFonts w:cstheme="minorHAnsi"/>
          <w:b/>
          <w:bCs/>
          <w:color w:val="000000"/>
          <w:sz w:val="24"/>
          <w:szCs w:val="24"/>
        </w:rPr>
        <w:t>Individual work</w:t>
      </w:r>
    </w:p>
    <w:p w:rsidR="00880AE6" w:rsidRPr="00AD30CD" w:rsidRDefault="00880AE6" w:rsidP="00880AE6">
      <w:pPr>
        <w:autoSpaceDE w:val="0"/>
        <w:autoSpaceDN w:val="0"/>
        <w:adjustRightInd w:val="0"/>
        <w:spacing w:after="0" w:line="240" w:lineRule="auto"/>
        <w:jc w:val="both"/>
        <w:rPr>
          <w:rFonts w:eastAsia="MyriadPro-Regular" w:cstheme="minorHAnsi"/>
          <w:i/>
          <w:color w:val="000000"/>
          <w:sz w:val="24"/>
          <w:szCs w:val="24"/>
          <w:u w:val="single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Students must select their own articles to discuss. It may happen that more than one student bases his or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>her commentary on the same article, but the article must not be given to the class by the teacher, and the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 xml:space="preserve">production of the commentary must be each student’s individual work. </w:t>
      </w:r>
      <w:r w:rsidRPr="00AD30CD">
        <w:rPr>
          <w:rFonts w:eastAsia="MyriadPro-Regular" w:cstheme="minorHAnsi"/>
          <w:i/>
          <w:color w:val="000000"/>
          <w:sz w:val="24"/>
          <w:szCs w:val="24"/>
          <w:u w:val="single"/>
        </w:rPr>
        <w:t>A commentary must not be prepared collaboratively.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880AE6">
        <w:rPr>
          <w:rFonts w:cstheme="minorHAnsi"/>
          <w:b/>
          <w:bCs/>
          <w:color w:val="000000"/>
          <w:sz w:val="24"/>
          <w:szCs w:val="24"/>
        </w:rPr>
        <w:t>Key concepts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jc w:val="both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 xml:space="preserve">Each of the three commentaries </w:t>
      </w:r>
      <w:r w:rsidRPr="00880AE6">
        <w:rPr>
          <w:rFonts w:cstheme="minorHAnsi"/>
          <w:b/>
          <w:bCs/>
          <w:color w:val="000000"/>
          <w:sz w:val="24"/>
          <w:szCs w:val="24"/>
        </w:rPr>
        <w:t xml:space="preserve">must </w:t>
      </w:r>
      <w:r w:rsidRPr="00880AE6">
        <w:rPr>
          <w:rFonts w:eastAsia="MyriadPro-Regular" w:cstheme="minorHAnsi"/>
          <w:color w:val="000000"/>
          <w:sz w:val="24"/>
          <w:szCs w:val="24"/>
        </w:rPr>
        <w:t xml:space="preserve">use a different key concept </w:t>
      </w:r>
      <w:r w:rsidR="00AD30CD" w:rsidRPr="00AD30CD">
        <w:rPr>
          <w:rFonts w:eastAsia="MyriadPro-Regular" w:cstheme="minorHAnsi"/>
          <w:i/>
          <w:color w:val="000000"/>
          <w:sz w:val="24"/>
          <w:szCs w:val="24"/>
        </w:rPr>
        <w:t>(see list</w:t>
      </w:r>
      <w:r w:rsidR="00F14494">
        <w:rPr>
          <w:rFonts w:eastAsia="MyriadPro-Regular" w:cstheme="minorHAnsi"/>
          <w:i/>
          <w:color w:val="000000"/>
          <w:sz w:val="24"/>
          <w:szCs w:val="24"/>
        </w:rPr>
        <w:t xml:space="preserve"> below</w:t>
      </w:r>
      <w:r w:rsidR="00AD30CD" w:rsidRPr="00AD30CD">
        <w:rPr>
          <w:rFonts w:eastAsia="MyriadPro-Regular" w:cstheme="minorHAnsi"/>
          <w:i/>
          <w:color w:val="000000"/>
          <w:sz w:val="24"/>
          <w:szCs w:val="24"/>
        </w:rPr>
        <w:t>)</w:t>
      </w:r>
      <w:r w:rsidR="00AD30CD"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>as a lens through which to analyse the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>published extracts. Students will risk losing 3 marks in criterion D if they use the same key concept in two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 xml:space="preserve">commentaries and up to 6 marks if the same key concept is used in three commentaries. </w:t>
      </w:r>
    </w:p>
    <w:p w:rsidR="00AD30CD" w:rsidRPr="00F14494" w:rsidRDefault="00AD30CD" w:rsidP="00880AE6">
      <w:pPr>
        <w:autoSpaceDE w:val="0"/>
        <w:autoSpaceDN w:val="0"/>
        <w:adjustRightInd w:val="0"/>
        <w:spacing w:after="0" w:line="240" w:lineRule="auto"/>
        <w:jc w:val="both"/>
        <w:rPr>
          <w:rFonts w:eastAsia="MyriadPro-Regular" w:cstheme="minorHAnsi"/>
          <w:color w:val="000000"/>
          <w:sz w:val="24"/>
          <w:szCs w:val="24"/>
        </w:rPr>
      </w:pPr>
    </w:p>
    <w:p w:rsidR="00AD30CD" w:rsidRPr="00F14494" w:rsidRDefault="00AD30CD" w:rsidP="00F144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F14494">
        <w:rPr>
          <w:rFonts w:cstheme="minorHAnsi"/>
          <w:bCs/>
          <w:i/>
          <w:sz w:val="24"/>
          <w:szCs w:val="24"/>
        </w:rPr>
        <w:t>Scarcity</w:t>
      </w:r>
    </w:p>
    <w:p w:rsidR="00AD30CD" w:rsidRPr="00F14494" w:rsidRDefault="00AD30CD" w:rsidP="00F144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F14494">
        <w:rPr>
          <w:rFonts w:cstheme="minorHAnsi"/>
          <w:bCs/>
          <w:i/>
          <w:sz w:val="24"/>
          <w:szCs w:val="24"/>
        </w:rPr>
        <w:t>Choice</w:t>
      </w:r>
    </w:p>
    <w:p w:rsidR="00AD30CD" w:rsidRPr="00F14494" w:rsidRDefault="00AD30CD" w:rsidP="00F144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F14494">
        <w:rPr>
          <w:rFonts w:cstheme="minorHAnsi"/>
          <w:bCs/>
          <w:i/>
          <w:sz w:val="24"/>
          <w:szCs w:val="24"/>
        </w:rPr>
        <w:t>Efficiency</w:t>
      </w:r>
    </w:p>
    <w:p w:rsidR="00AD30CD" w:rsidRPr="00F14494" w:rsidRDefault="00AD30CD" w:rsidP="00F144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F14494">
        <w:rPr>
          <w:rFonts w:cstheme="minorHAnsi"/>
          <w:bCs/>
          <w:i/>
          <w:sz w:val="24"/>
          <w:szCs w:val="24"/>
        </w:rPr>
        <w:t>Equity</w:t>
      </w:r>
    </w:p>
    <w:p w:rsidR="00AD30CD" w:rsidRPr="00F14494" w:rsidRDefault="00AD30CD" w:rsidP="00F144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F14494">
        <w:rPr>
          <w:rFonts w:cstheme="minorHAnsi"/>
          <w:bCs/>
          <w:i/>
          <w:sz w:val="24"/>
          <w:szCs w:val="24"/>
        </w:rPr>
        <w:t>Economic Well-being</w:t>
      </w:r>
    </w:p>
    <w:p w:rsidR="00AD30CD" w:rsidRPr="00F14494" w:rsidRDefault="00AD30CD" w:rsidP="00F144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F14494">
        <w:rPr>
          <w:rFonts w:cstheme="minorHAnsi"/>
          <w:bCs/>
          <w:i/>
          <w:sz w:val="24"/>
          <w:szCs w:val="24"/>
        </w:rPr>
        <w:t>Sustainability</w:t>
      </w:r>
    </w:p>
    <w:p w:rsidR="00AD30CD" w:rsidRPr="00F14494" w:rsidRDefault="00AD30CD" w:rsidP="00F144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F14494">
        <w:rPr>
          <w:rFonts w:cstheme="minorHAnsi"/>
          <w:bCs/>
          <w:i/>
          <w:sz w:val="24"/>
          <w:szCs w:val="24"/>
        </w:rPr>
        <w:t>Change</w:t>
      </w:r>
    </w:p>
    <w:p w:rsidR="00F14494" w:rsidRPr="00F14494" w:rsidRDefault="00AD30CD" w:rsidP="00F144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Regular" w:cstheme="minorHAnsi"/>
          <w:i/>
          <w:color w:val="000000"/>
          <w:sz w:val="24"/>
          <w:szCs w:val="24"/>
        </w:rPr>
      </w:pPr>
      <w:r w:rsidRPr="00F14494">
        <w:rPr>
          <w:rFonts w:cstheme="minorHAnsi"/>
          <w:bCs/>
          <w:i/>
          <w:sz w:val="24"/>
          <w:szCs w:val="24"/>
        </w:rPr>
        <w:t>Interdependence</w:t>
      </w:r>
    </w:p>
    <w:p w:rsidR="00AD30CD" w:rsidRPr="00F14494" w:rsidRDefault="00AD30CD" w:rsidP="00F144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Regular" w:cstheme="minorHAnsi"/>
          <w:i/>
          <w:color w:val="000000"/>
          <w:sz w:val="24"/>
          <w:szCs w:val="24"/>
        </w:rPr>
      </w:pPr>
      <w:r w:rsidRPr="00F14494">
        <w:rPr>
          <w:rFonts w:cstheme="minorHAnsi"/>
          <w:bCs/>
          <w:i/>
          <w:sz w:val="24"/>
          <w:szCs w:val="24"/>
        </w:rPr>
        <w:t>Intervention</w:t>
      </w:r>
    </w:p>
    <w:p w:rsidR="00AD30CD" w:rsidRPr="00F14494" w:rsidRDefault="00AD30CD" w:rsidP="00880AE6">
      <w:pPr>
        <w:autoSpaceDE w:val="0"/>
        <w:autoSpaceDN w:val="0"/>
        <w:adjustRightInd w:val="0"/>
        <w:spacing w:after="0" w:line="240" w:lineRule="auto"/>
        <w:jc w:val="both"/>
        <w:rPr>
          <w:rFonts w:eastAsia="MyriadPro-Regular" w:cstheme="minorHAnsi"/>
          <w:color w:val="000000"/>
          <w:sz w:val="24"/>
          <w:szCs w:val="24"/>
        </w:rPr>
      </w:pPr>
    </w:p>
    <w:p w:rsidR="00CD148B" w:rsidRDefault="00CD148B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880AE6" w:rsidRPr="00880AE6" w:rsidRDefault="00CD148B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>
        <w:rPr>
          <w:rFonts w:eastAsia="MyriadPro-Regular" w:cstheme="minorHAnsi"/>
          <w:color w:val="000000"/>
          <w:sz w:val="24"/>
          <w:szCs w:val="24"/>
        </w:rPr>
        <w:lastRenderedPageBreak/>
        <w:t>E</w:t>
      </w:r>
      <w:r w:rsidR="00880AE6" w:rsidRPr="00880AE6">
        <w:rPr>
          <w:rFonts w:eastAsia="MyriadPro-Regular" w:cstheme="minorHAnsi"/>
          <w:color w:val="000000"/>
          <w:sz w:val="24"/>
          <w:szCs w:val="24"/>
        </w:rPr>
        <w:t>ach commentary must: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880AE6" w:rsidRPr="00880AE6" w:rsidRDefault="00880AE6" w:rsidP="00880A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explain the links between the article, a key concept and economic theory taken from the unit of the syllabus on which the article is based</w:t>
      </w:r>
    </w:p>
    <w:p w:rsidR="00880AE6" w:rsidRPr="00880AE6" w:rsidRDefault="00880AE6" w:rsidP="00880A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demonstrate economic insights into the implications of the article (</w:t>
      </w:r>
      <w:r w:rsidRPr="00A9371B">
        <w:rPr>
          <w:rFonts w:eastAsia="MyriadPro-Regular" w:cstheme="minorHAnsi"/>
          <w:i/>
          <w:color w:val="000000"/>
          <w:sz w:val="24"/>
          <w:szCs w:val="24"/>
        </w:rPr>
        <w:t>that is, it should provide   evidence of the student’s ability to discuss current events from the po</w:t>
      </w:r>
      <w:r w:rsidR="00A9371B" w:rsidRPr="00A9371B">
        <w:rPr>
          <w:rFonts w:eastAsia="MyriadPro-Regular" w:cstheme="minorHAnsi"/>
          <w:i/>
          <w:color w:val="000000"/>
          <w:sz w:val="24"/>
          <w:szCs w:val="24"/>
        </w:rPr>
        <w:t>int of view of an    economist</w:t>
      </w:r>
      <w:r w:rsidR="00A9371B">
        <w:rPr>
          <w:rFonts w:eastAsia="MyriadPro-Regular" w:cstheme="minorHAnsi"/>
          <w:color w:val="000000"/>
          <w:sz w:val="24"/>
          <w:szCs w:val="24"/>
        </w:rPr>
        <w:t>)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On each commentary students must record: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• the title of the article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• the source of the article (including date of access to the site if from the internet)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• the date the article was published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• the date the commentary was written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• the word count of the commentary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• the unit of the syllabus to which the article relates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• the key concept being used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jc w:val="both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Each commentary in the portfolio is assessed individually against the internal assessment criteria. The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>teacher will initially assess each student’s work. Please note that internal standardization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>must take place if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>more than one teacher is assessing the work. A sample of the work will then be moderated by the IB.</w:t>
      </w:r>
      <w:r>
        <w:rPr>
          <w:rFonts w:eastAsia="MyriadPro-Regular" w:cstheme="minorHAnsi"/>
          <w:color w:val="000000"/>
          <w:sz w:val="24"/>
          <w:szCs w:val="24"/>
        </w:rPr>
        <w:t xml:space="preserve">  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880AE6">
        <w:rPr>
          <w:rFonts w:cstheme="minorHAnsi"/>
          <w:b/>
          <w:bCs/>
          <w:color w:val="000000"/>
          <w:sz w:val="24"/>
          <w:szCs w:val="24"/>
        </w:rPr>
        <w:t>Word limit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 xml:space="preserve">Students must produce a portfolio of three commentaries. Each commentary must </w:t>
      </w:r>
      <w:r w:rsidRPr="00880AE6">
        <w:rPr>
          <w:rFonts w:eastAsia="MyriadPro-Regular" w:cstheme="minorHAnsi"/>
          <w:color w:val="000000"/>
          <w:sz w:val="24"/>
          <w:szCs w:val="24"/>
          <w:u w:val="single"/>
        </w:rPr>
        <w:t>not</w:t>
      </w:r>
      <w:r w:rsidRPr="00880AE6">
        <w:rPr>
          <w:rFonts w:eastAsia="MyriadPro-Regular" w:cstheme="minorHAnsi"/>
          <w:color w:val="000000"/>
          <w:sz w:val="24"/>
          <w:szCs w:val="24"/>
        </w:rPr>
        <w:t xml:space="preserve"> exceed 800 words.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cstheme="minorHAnsi"/>
          <w:b/>
          <w:bCs/>
          <w:color w:val="000000"/>
          <w:sz w:val="24"/>
          <w:szCs w:val="24"/>
        </w:rPr>
        <w:t xml:space="preserve">Note: </w:t>
      </w:r>
      <w:r w:rsidRPr="00880AE6">
        <w:rPr>
          <w:rFonts w:eastAsia="MyriadPro-Regular" w:cstheme="minorHAnsi"/>
          <w:color w:val="000000"/>
          <w:sz w:val="24"/>
          <w:szCs w:val="24"/>
        </w:rPr>
        <w:t>Moderators will not read beyond 800 words for each commentary.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 xml:space="preserve">The following are </w:t>
      </w:r>
      <w:r w:rsidRPr="00880AE6">
        <w:rPr>
          <w:rFonts w:cstheme="minorHAnsi"/>
          <w:b/>
          <w:bCs/>
          <w:color w:val="000000"/>
          <w:sz w:val="24"/>
          <w:szCs w:val="24"/>
        </w:rPr>
        <w:t xml:space="preserve">not </w:t>
      </w:r>
      <w:r w:rsidRPr="00880AE6">
        <w:rPr>
          <w:rFonts w:eastAsia="MyriadPro-Regular" w:cstheme="minorHAnsi"/>
          <w:color w:val="000000"/>
          <w:sz w:val="24"/>
          <w:szCs w:val="24"/>
        </w:rPr>
        <w:t>included in the word count.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• Acknowledgments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• Contents page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• Diagrams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• Labels—of five words or fewer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• Headings on diagrams—of 10 words or fewer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• Tables of statistical data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• Equations, formulae and calculations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• Citations (which, if used, must be in the body of the commentary)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• References (which, if used, must be in the footnotes/endnotes)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jc w:val="both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Please note that footnotes/endnotes may be used for referencing purposes only. Definitions of economic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>terms and quotations, if used, must be in the body of the work and are included in the word count. Please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>note that a citation is a shorthand method of making a reference in the body of the commentary, which is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>then linked to the full reference in the footnotes/endnotes.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880AE6">
        <w:rPr>
          <w:rFonts w:cstheme="minorHAnsi"/>
          <w:b/>
          <w:bCs/>
          <w:color w:val="000000"/>
          <w:sz w:val="24"/>
          <w:szCs w:val="24"/>
        </w:rPr>
        <w:t>Rubric requirements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 xml:space="preserve">If students do not adhere to the following requirements, they can lose marks under criterion F: 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i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880AE6">
        <w:rPr>
          <w:rFonts w:cstheme="minorHAnsi"/>
          <w:b/>
          <w:bCs/>
          <w:i/>
          <w:iCs/>
          <w:color w:val="000000"/>
          <w:sz w:val="24"/>
          <w:szCs w:val="24"/>
        </w:rPr>
        <w:t>1. Articles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Each article must be based on a different unit of the syllabus (excluding Unit 1: Introduction to economics).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880AE6">
        <w:rPr>
          <w:rFonts w:cstheme="minorHAnsi"/>
          <w:b/>
          <w:bCs/>
          <w:i/>
          <w:iCs/>
          <w:color w:val="000000"/>
          <w:sz w:val="24"/>
          <w:szCs w:val="24"/>
        </w:rPr>
        <w:t>2. Sources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Students must use a different source for each commentary.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880AE6">
        <w:rPr>
          <w:rFonts w:cstheme="minorHAnsi"/>
          <w:b/>
          <w:bCs/>
          <w:i/>
          <w:iCs/>
          <w:color w:val="000000"/>
          <w:sz w:val="24"/>
          <w:szCs w:val="24"/>
        </w:rPr>
        <w:t>3. Contemporary articles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Students need to look for articles relating to current events, and these must be published no earlier than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>one year before the writing of the commentary.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b/>
          <w:color w:val="818181"/>
          <w:sz w:val="24"/>
          <w:szCs w:val="24"/>
          <w:u w:val="single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b/>
          <w:sz w:val="24"/>
          <w:szCs w:val="24"/>
          <w:u w:val="single"/>
        </w:rPr>
      </w:pPr>
      <w:r w:rsidRPr="00880AE6">
        <w:rPr>
          <w:rFonts w:eastAsia="MyriadPro-Regular" w:cstheme="minorHAnsi"/>
          <w:b/>
          <w:sz w:val="24"/>
          <w:szCs w:val="24"/>
          <w:u w:val="single"/>
        </w:rPr>
        <w:t xml:space="preserve">Internal </w:t>
      </w:r>
      <w:r>
        <w:rPr>
          <w:rFonts w:eastAsia="MyriadPro-Regular" w:cstheme="minorHAnsi"/>
          <w:b/>
          <w:sz w:val="24"/>
          <w:szCs w:val="24"/>
          <w:u w:val="single"/>
        </w:rPr>
        <w:t>A</w:t>
      </w:r>
      <w:r w:rsidRPr="00880AE6">
        <w:rPr>
          <w:rFonts w:eastAsia="MyriadPro-Regular" w:cstheme="minorHAnsi"/>
          <w:b/>
          <w:sz w:val="24"/>
          <w:szCs w:val="24"/>
          <w:u w:val="single"/>
        </w:rPr>
        <w:t xml:space="preserve">ssessment </w:t>
      </w:r>
      <w:r>
        <w:rPr>
          <w:rFonts w:eastAsia="MyriadPro-Regular" w:cstheme="minorHAnsi"/>
          <w:b/>
          <w:sz w:val="24"/>
          <w:szCs w:val="24"/>
          <w:u w:val="single"/>
        </w:rPr>
        <w:t>C</w:t>
      </w:r>
      <w:r w:rsidRPr="00880AE6">
        <w:rPr>
          <w:rFonts w:eastAsia="MyriadPro-Regular" w:cstheme="minorHAnsi"/>
          <w:b/>
          <w:sz w:val="24"/>
          <w:szCs w:val="24"/>
          <w:u w:val="single"/>
        </w:rPr>
        <w:t>riteria—SL and HL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880AE6">
        <w:rPr>
          <w:rFonts w:cstheme="minorHAnsi"/>
          <w:b/>
          <w:bCs/>
          <w:color w:val="000000"/>
          <w:sz w:val="24"/>
          <w:szCs w:val="24"/>
        </w:rPr>
        <w:t>Overview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There are five internal assessment criteria for each commentary.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80AE6">
        <w:rPr>
          <w:rFonts w:cstheme="minorHAnsi"/>
          <w:b/>
          <w:bCs/>
          <w:sz w:val="24"/>
          <w:szCs w:val="24"/>
        </w:rPr>
        <w:t>Criterion Commentary section Marks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Criterion A</w:t>
      </w:r>
      <w:r>
        <w:rPr>
          <w:rFonts w:eastAsia="MyriadPro-Regular" w:cstheme="minorHAnsi"/>
          <w:color w:val="000000"/>
          <w:sz w:val="24"/>
          <w:szCs w:val="24"/>
        </w:rPr>
        <w:t>:</w:t>
      </w:r>
      <w:r w:rsidRPr="00880AE6">
        <w:rPr>
          <w:rFonts w:eastAsia="MyriadPro-Regular" w:cstheme="minorHAnsi"/>
          <w:color w:val="000000"/>
          <w:sz w:val="24"/>
          <w:szCs w:val="24"/>
        </w:rPr>
        <w:t xml:space="preserve"> Diagrams 3 marks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Criterion B</w:t>
      </w:r>
      <w:r>
        <w:rPr>
          <w:rFonts w:eastAsia="MyriadPro-Regular" w:cstheme="minorHAnsi"/>
          <w:color w:val="000000"/>
          <w:sz w:val="24"/>
          <w:szCs w:val="24"/>
        </w:rPr>
        <w:t xml:space="preserve">: </w:t>
      </w:r>
      <w:r w:rsidRPr="00880AE6">
        <w:rPr>
          <w:rFonts w:eastAsia="MyriadPro-Regular" w:cstheme="minorHAnsi"/>
          <w:color w:val="000000"/>
          <w:sz w:val="24"/>
          <w:szCs w:val="24"/>
        </w:rPr>
        <w:t>Terminology 2 marks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Criterion C</w:t>
      </w:r>
      <w:r>
        <w:rPr>
          <w:rFonts w:eastAsia="MyriadPro-Regular" w:cstheme="minorHAnsi"/>
          <w:color w:val="000000"/>
          <w:sz w:val="24"/>
          <w:szCs w:val="24"/>
        </w:rPr>
        <w:t xml:space="preserve">: </w:t>
      </w:r>
      <w:r w:rsidRPr="00880AE6">
        <w:rPr>
          <w:rFonts w:eastAsia="MyriadPro-Regular" w:cstheme="minorHAnsi"/>
          <w:color w:val="000000"/>
          <w:sz w:val="24"/>
          <w:szCs w:val="24"/>
        </w:rPr>
        <w:t>Application and analysis 3 marks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Criterion D</w:t>
      </w:r>
      <w:r>
        <w:rPr>
          <w:rFonts w:eastAsia="MyriadPro-Regular" w:cstheme="minorHAnsi"/>
          <w:color w:val="000000"/>
          <w:sz w:val="24"/>
          <w:szCs w:val="24"/>
        </w:rPr>
        <w:t xml:space="preserve">: </w:t>
      </w:r>
      <w:r w:rsidRPr="00880AE6">
        <w:rPr>
          <w:rFonts w:eastAsia="MyriadPro-Regular" w:cstheme="minorHAnsi"/>
          <w:color w:val="000000"/>
          <w:sz w:val="24"/>
          <w:szCs w:val="24"/>
        </w:rPr>
        <w:t>Key concept 3 marks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Criterion E</w:t>
      </w:r>
      <w:r>
        <w:rPr>
          <w:rFonts w:eastAsia="MyriadPro-Regular" w:cstheme="minorHAnsi"/>
          <w:color w:val="000000"/>
          <w:sz w:val="24"/>
          <w:szCs w:val="24"/>
        </w:rPr>
        <w:t xml:space="preserve">: </w:t>
      </w:r>
      <w:r w:rsidRPr="00880AE6">
        <w:rPr>
          <w:rFonts w:eastAsia="MyriadPro-Regular" w:cstheme="minorHAnsi"/>
          <w:color w:val="000000"/>
          <w:sz w:val="24"/>
          <w:szCs w:val="24"/>
        </w:rPr>
        <w:t>Evaluation 3 marks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880AE6">
        <w:rPr>
          <w:rFonts w:cstheme="minorHAnsi"/>
          <w:b/>
          <w:bCs/>
          <w:color w:val="000000"/>
          <w:sz w:val="24"/>
          <w:szCs w:val="24"/>
        </w:rPr>
        <w:t>Total 14 marks</w:t>
      </w:r>
    </w:p>
    <w:p w:rsidR="0058372F" w:rsidRDefault="0058372F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There is one internal assessment criterion for the whole portfolio.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880AE6" w:rsidRPr="0058372F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b/>
          <w:color w:val="000000"/>
          <w:sz w:val="24"/>
          <w:szCs w:val="24"/>
        </w:rPr>
      </w:pPr>
      <w:r w:rsidRPr="0058372F">
        <w:rPr>
          <w:rFonts w:eastAsia="MyriadPro-Regular" w:cstheme="minorHAnsi"/>
          <w:b/>
          <w:color w:val="000000"/>
          <w:sz w:val="24"/>
          <w:szCs w:val="24"/>
        </w:rPr>
        <w:t>Criterion F Rubric requirements 3 marks</w:t>
      </w:r>
    </w:p>
    <w:p w:rsidR="00880AE6" w:rsidRP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880AE6">
        <w:rPr>
          <w:rFonts w:eastAsia="MyriadPro-Regular" w:cstheme="minorHAnsi"/>
          <w:color w:val="000000"/>
          <w:sz w:val="24"/>
          <w:szCs w:val="24"/>
        </w:rPr>
        <w:t>Each commentary is assessed individually for the first five assessment criteria (criteria A–E) and then</w:t>
      </w:r>
      <w:r>
        <w:rPr>
          <w:rFonts w:eastAsia="MyriadPro-Regular" w:cstheme="minorHAnsi"/>
          <w:color w:val="000000"/>
          <w:sz w:val="24"/>
          <w:szCs w:val="24"/>
        </w:rPr>
        <w:t xml:space="preserve"> </w:t>
      </w:r>
      <w:r w:rsidRPr="00880AE6">
        <w:rPr>
          <w:rFonts w:eastAsia="MyriadPro-Regular" w:cstheme="minorHAnsi"/>
          <w:color w:val="000000"/>
          <w:sz w:val="24"/>
          <w:szCs w:val="24"/>
        </w:rPr>
        <w:t>criterion F is applied to the whole portfolio.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5315BB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58372F">
        <w:rPr>
          <w:rFonts w:eastAsia="MyriadPro-Regular" w:cstheme="minorHAnsi"/>
          <w:i/>
          <w:color w:val="000000"/>
          <w:sz w:val="24"/>
          <w:szCs w:val="24"/>
        </w:rPr>
        <w:t>The maximum for the portfolio is 45 marks</w:t>
      </w:r>
      <w:r w:rsidRPr="00880AE6">
        <w:rPr>
          <w:rFonts w:eastAsia="MyriadPro-Regular" w:cstheme="minorHAnsi"/>
          <w:color w:val="000000"/>
          <w:sz w:val="24"/>
          <w:szCs w:val="24"/>
        </w:rPr>
        <w:t xml:space="preserve">: (14 marks x 3 commentaries) + 3 marks = 42 + 3 marks. 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910ABD" w:rsidRDefault="00910ABD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910ABD" w:rsidRDefault="00910ABD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F14494" w:rsidRDefault="00F14494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F14494" w:rsidRDefault="00F14494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</w:p>
    <w:p w:rsidR="00880AE6" w:rsidRPr="00880AE6" w:rsidRDefault="00880AE6" w:rsidP="00910A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80AE6">
        <w:rPr>
          <w:rFonts w:cstheme="minorHAnsi"/>
          <w:b/>
          <w:bCs/>
          <w:sz w:val="24"/>
          <w:szCs w:val="24"/>
        </w:rPr>
        <w:t xml:space="preserve">Economics </w:t>
      </w:r>
      <w:r w:rsidR="00910ABD">
        <w:rPr>
          <w:rFonts w:cstheme="minorHAnsi"/>
          <w:b/>
          <w:bCs/>
          <w:sz w:val="24"/>
          <w:szCs w:val="24"/>
        </w:rPr>
        <w:t>In</w:t>
      </w:r>
      <w:r w:rsidRPr="00880AE6">
        <w:rPr>
          <w:rFonts w:cstheme="minorHAnsi"/>
          <w:b/>
          <w:bCs/>
          <w:sz w:val="24"/>
          <w:szCs w:val="24"/>
        </w:rPr>
        <w:t xml:space="preserve">ternal </w:t>
      </w:r>
      <w:r w:rsidR="00910ABD">
        <w:rPr>
          <w:rFonts w:cstheme="minorHAnsi"/>
          <w:b/>
          <w:bCs/>
          <w:sz w:val="24"/>
          <w:szCs w:val="24"/>
        </w:rPr>
        <w:t>A</w:t>
      </w:r>
      <w:r w:rsidRPr="00880AE6">
        <w:rPr>
          <w:rFonts w:cstheme="minorHAnsi"/>
          <w:b/>
          <w:bCs/>
          <w:sz w:val="24"/>
          <w:szCs w:val="24"/>
        </w:rPr>
        <w:t xml:space="preserve">ssessment </w:t>
      </w:r>
      <w:r w:rsidR="00910ABD">
        <w:rPr>
          <w:rFonts w:cstheme="minorHAnsi"/>
          <w:b/>
          <w:bCs/>
          <w:sz w:val="24"/>
          <w:szCs w:val="24"/>
        </w:rPr>
        <w:t>P</w:t>
      </w:r>
      <w:r w:rsidRPr="00880AE6">
        <w:rPr>
          <w:rFonts w:cstheme="minorHAnsi"/>
          <w:b/>
          <w:bCs/>
          <w:sz w:val="24"/>
          <w:szCs w:val="24"/>
        </w:rPr>
        <w:t>ortfolio (SL/HL)</w:t>
      </w:r>
    </w:p>
    <w:p w:rsidR="00880AE6" w:rsidRDefault="00880AE6" w:rsidP="00880AE6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Bold" w:cs="MyriadPro-Regular"/>
          <w:sz w:val="19"/>
          <w:szCs w:val="19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340"/>
        <w:gridCol w:w="630"/>
        <w:gridCol w:w="1620"/>
        <w:gridCol w:w="1980"/>
        <w:gridCol w:w="1890"/>
        <w:gridCol w:w="1170"/>
      </w:tblGrid>
      <w:tr w:rsidR="00910ABD" w:rsidRPr="00910ABD" w:rsidTr="008420AD">
        <w:trPr>
          <w:trHeight w:val="290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10ABD" w:rsidRPr="00910ABD" w:rsidRDefault="00910ABD" w:rsidP="00910ABD">
            <w:pPr>
              <w:keepNext/>
              <w:spacing w:after="0" w:line="240" w:lineRule="auto"/>
              <w:jc w:val="right"/>
              <w:outlineLvl w:val="2"/>
              <w:rPr>
                <w:rFonts w:ascii="Cambria" w:eastAsia="Times New Roman" w:hAnsi="Cambria" w:cs="Times New Roman"/>
                <w:b/>
                <w:i/>
                <w:sz w:val="18"/>
                <w:szCs w:val="20"/>
                <w:lang w:val="en-US"/>
              </w:rPr>
            </w:pPr>
            <w:r w:rsidRPr="00910ABD">
              <w:rPr>
                <w:rFonts w:ascii="Cambria" w:eastAsia="Times New Roman" w:hAnsi="Cambria" w:cs="Times New Roman"/>
                <w:b/>
                <w:i/>
                <w:sz w:val="18"/>
                <w:szCs w:val="20"/>
                <w:lang w:val="en-US"/>
              </w:rPr>
              <w:t xml:space="preserve">Achievement Level 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:rsidR="00910ABD" w:rsidRPr="00910ABD" w:rsidRDefault="00910ABD" w:rsidP="00910A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0"/>
                <w:lang w:val="en-US"/>
              </w:rPr>
            </w:pPr>
            <w:r w:rsidRPr="00910ABD">
              <w:rPr>
                <w:rFonts w:ascii="Cambria" w:eastAsia="Times New Roman" w:hAnsi="Cambria" w:cs="Times New Roman"/>
                <w:b/>
                <w:sz w:val="28"/>
                <w:szCs w:val="20"/>
                <w:lang w:val="en-US"/>
              </w:rPr>
              <w:t>0*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910ABD" w:rsidRPr="00910ABD" w:rsidRDefault="00910ABD" w:rsidP="00910A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0"/>
                <w:lang w:val="en-US"/>
              </w:rPr>
            </w:pPr>
            <w:r w:rsidRPr="00910ABD">
              <w:rPr>
                <w:rFonts w:ascii="Cambria" w:eastAsia="Times New Roman" w:hAnsi="Cambria" w:cs="Times New Roman"/>
                <w:b/>
                <w:sz w:val="28"/>
                <w:szCs w:val="20"/>
                <w:lang w:val="en-US"/>
              </w:rPr>
              <w:t>1</w:t>
            </w:r>
          </w:p>
        </w:tc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910ABD" w:rsidRPr="00910ABD" w:rsidRDefault="00910ABD" w:rsidP="00910A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0"/>
                <w:lang w:val="en-US"/>
              </w:rPr>
            </w:pPr>
            <w:r w:rsidRPr="00910ABD">
              <w:rPr>
                <w:rFonts w:ascii="Cambria" w:eastAsia="Times New Roman" w:hAnsi="Cambria" w:cs="Times New Roman"/>
                <w:b/>
                <w:sz w:val="28"/>
                <w:szCs w:val="20"/>
                <w:lang w:val="en-US"/>
              </w:rPr>
              <w:t>2</w:t>
            </w:r>
          </w:p>
        </w:tc>
        <w:tc>
          <w:tcPr>
            <w:tcW w:w="1890" w:type="dxa"/>
            <w:vMerge w:val="restart"/>
            <w:shd w:val="clear" w:color="auto" w:fill="F2F2F2" w:themeFill="background1" w:themeFillShade="F2"/>
            <w:vAlign w:val="center"/>
          </w:tcPr>
          <w:p w:rsidR="00910ABD" w:rsidRPr="00910ABD" w:rsidRDefault="00910ABD" w:rsidP="00910A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0"/>
                <w:lang w:val="en-US"/>
              </w:rPr>
            </w:pPr>
            <w:r w:rsidRPr="00910ABD">
              <w:rPr>
                <w:rFonts w:ascii="Cambria" w:eastAsia="Times New Roman" w:hAnsi="Cambria" w:cs="Times New Roman"/>
                <w:b/>
                <w:sz w:val="28"/>
                <w:szCs w:val="20"/>
                <w:lang w:val="en-US"/>
              </w:rPr>
              <w:t>3</w:t>
            </w:r>
          </w:p>
        </w:tc>
        <w:tc>
          <w:tcPr>
            <w:tcW w:w="1170" w:type="dxa"/>
            <w:vMerge w:val="restart"/>
            <w:shd w:val="clear" w:color="auto" w:fill="F2F2F2" w:themeFill="background1" w:themeFillShade="F2"/>
            <w:vAlign w:val="center"/>
          </w:tcPr>
          <w:p w:rsidR="00910ABD" w:rsidRPr="00910ABD" w:rsidRDefault="00910ABD" w:rsidP="00910ABD">
            <w:pPr>
              <w:keepNext/>
              <w:spacing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smallCaps/>
                <w:sz w:val="24"/>
                <w:szCs w:val="24"/>
                <w:lang w:val="en-US"/>
              </w:rPr>
            </w:pPr>
            <w:r w:rsidRPr="00910ABD">
              <w:rPr>
                <w:rFonts w:ascii="Cambria" w:eastAsia="Times New Roman" w:hAnsi="Cambria" w:cs="Times New Roman"/>
                <w:b/>
                <w:smallCaps/>
                <w:sz w:val="24"/>
                <w:szCs w:val="24"/>
                <w:lang w:val="en-US"/>
              </w:rPr>
              <w:t>Score</w:t>
            </w:r>
          </w:p>
        </w:tc>
      </w:tr>
      <w:tr w:rsidR="00910ABD" w:rsidRPr="00910ABD" w:rsidTr="008420AD">
        <w:trPr>
          <w:trHeight w:val="290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910ABD" w:rsidRPr="00910ABD" w:rsidRDefault="00910ABD" w:rsidP="00910ABD">
            <w:pPr>
              <w:spacing w:after="0" w:line="240" w:lineRule="auto"/>
              <w:rPr>
                <w:rFonts w:eastAsia="Times New Roman" w:cstheme="minorHAnsi"/>
                <w:b/>
                <w:i/>
                <w:sz w:val="18"/>
                <w:szCs w:val="20"/>
                <w:lang w:val="en-US"/>
              </w:rPr>
            </w:pPr>
            <w:r w:rsidRPr="00910ABD">
              <w:rPr>
                <w:rFonts w:eastAsia="Times New Roman" w:cstheme="minorHAnsi"/>
                <w:b/>
                <w:i/>
                <w:sz w:val="20"/>
                <w:szCs w:val="20"/>
                <w:lang w:val="en-US"/>
              </w:rPr>
              <w:t>Assessment Criterion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910ABD" w:rsidRPr="00910ABD" w:rsidRDefault="00910ABD" w:rsidP="00910AB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8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910ABD" w:rsidRPr="00910ABD" w:rsidRDefault="00910ABD" w:rsidP="00910AB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8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</w:tcPr>
          <w:p w:rsidR="00910ABD" w:rsidRPr="00910ABD" w:rsidRDefault="00910ABD" w:rsidP="00910AB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8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10ABD" w:rsidRPr="00910ABD" w:rsidRDefault="00910ABD" w:rsidP="00910AB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8"/>
                <w:szCs w:val="20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</w:tcPr>
          <w:p w:rsidR="00910ABD" w:rsidRPr="00910ABD" w:rsidRDefault="00910ABD" w:rsidP="00910AB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mallCaps/>
                <w:szCs w:val="20"/>
                <w:lang w:val="en-US"/>
              </w:rPr>
            </w:pPr>
          </w:p>
        </w:tc>
      </w:tr>
      <w:tr w:rsidR="00910ABD" w:rsidRPr="00910ABD" w:rsidTr="008420AD">
        <w:tc>
          <w:tcPr>
            <w:tcW w:w="2340" w:type="dxa"/>
            <w:shd w:val="clear" w:color="auto" w:fill="FFFFFF" w:themeFill="background1"/>
          </w:tcPr>
          <w:p w:rsidR="00910ABD" w:rsidRPr="00910ABD" w:rsidRDefault="00910ABD" w:rsidP="00910ABD">
            <w:pPr>
              <w:spacing w:after="0" w:line="240" w:lineRule="auto"/>
              <w:ind w:left="20" w:hanging="20"/>
              <w:rPr>
                <w:rFonts w:eastAsia="Times New Roman" w:cstheme="minorHAnsi"/>
                <w:b/>
                <w:smallCaps/>
                <w:sz w:val="20"/>
                <w:szCs w:val="18"/>
                <w:lang w:val="en-US"/>
              </w:rPr>
            </w:pPr>
            <w:r w:rsidRPr="00910ABD">
              <w:rPr>
                <w:rFonts w:eastAsia="Times New Roman" w:cstheme="minorHAnsi"/>
                <w:b/>
                <w:smallCaps/>
                <w:sz w:val="20"/>
                <w:szCs w:val="18"/>
                <w:lang w:val="en-US"/>
              </w:rPr>
              <w:t>A. Diagrams</w:t>
            </w:r>
          </w:p>
          <w:p w:rsidR="00910ABD" w:rsidRPr="00910ABD" w:rsidRDefault="00910ABD" w:rsidP="00910ABD">
            <w:pPr>
              <w:numPr>
                <w:ilvl w:val="0"/>
                <w:numId w:val="2"/>
              </w:numPr>
              <w:spacing w:after="0" w:line="240" w:lineRule="auto"/>
              <w:ind w:left="252" w:hanging="180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910ABD">
              <w:rPr>
                <w:rFonts w:ascii="Book Antiqua" w:eastAsia="Times New Roman" w:hAnsi="Book Antiqua" w:cs="Times New Roman"/>
                <w:b/>
                <w:smallCaps/>
                <w:sz w:val="18"/>
                <w:szCs w:val="18"/>
                <w:lang w:val="en-US"/>
              </w:rPr>
              <w:t xml:space="preserve"> </w:t>
            </w:r>
            <w:r w:rsidRPr="00910ABD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this criterion assesses the extent to which the student is able to construct and use diagram(s).</w:t>
            </w:r>
          </w:p>
          <w:p w:rsidR="00910ABD" w:rsidRPr="00910ABD" w:rsidRDefault="00910ABD" w:rsidP="008420AD">
            <w:pPr>
              <w:spacing w:after="0" w:line="240" w:lineRule="auto"/>
              <w:ind w:left="72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10AB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910ABD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Relevant diagram(s) are included but not explained, or the explanations are incorrect.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autoSpaceDE w:val="0"/>
              <w:autoSpaceDN w:val="0"/>
              <w:adjustRightInd w:val="0"/>
              <w:spacing w:before="148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910ABD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Relevant, accurate and correctly labeled diagram(s) are included, with a limited explanation.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autoSpaceDE w:val="0"/>
              <w:autoSpaceDN w:val="0"/>
              <w:adjustRightInd w:val="0"/>
              <w:spacing w:before="148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910ABD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Relevant, accurate and correctly labeled diagram(s) are included, with a full explanation.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0"/>
                <w:lang w:val="en-US"/>
              </w:rPr>
            </w:pPr>
          </w:p>
          <w:p w:rsidR="00910ABD" w:rsidRPr="00910ABD" w:rsidRDefault="00910ABD" w:rsidP="00910AB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0"/>
                <w:lang w:val="en-US"/>
              </w:rPr>
            </w:pPr>
            <w:r w:rsidRPr="00910ABD">
              <w:rPr>
                <w:rFonts w:eastAsia="Times New Roman" w:cstheme="minorHAnsi"/>
                <w:sz w:val="24"/>
                <w:szCs w:val="20"/>
                <w:lang w:val="en-US"/>
              </w:rPr>
              <w:t>/ 3</w:t>
            </w:r>
          </w:p>
        </w:tc>
      </w:tr>
      <w:tr w:rsidR="00910ABD" w:rsidRPr="00910ABD" w:rsidTr="008420AD">
        <w:trPr>
          <w:trHeight w:val="1255"/>
        </w:trPr>
        <w:tc>
          <w:tcPr>
            <w:tcW w:w="2340" w:type="dxa"/>
            <w:shd w:val="clear" w:color="auto" w:fill="FFFFFF" w:themeFill="background1"/>
          </w:tcPr>
          <w:p w:rsidR="00910ABD" w:rsidRPr="00910ABD" w:rsidRDefault="00910ABD" w:rsidP="00910ABD">
            <w:pPr>
              <w:spacing w:after="0" w:line="240" w:lineRule="auto"/>
              <w:rPr>
                <w:rFonts w:eastAsia="Times New Roman" w:cstheme="minorHAnsi"/>
                <w:b/>
                <w:smallCaps/>
                <w:sz w:val="20"/>
                <w:szCs w:val="18"/>
                <w:lang w:val="en-US"/>
              </w:rPr>
            </w:pPr>
            <w:r w:rsidRPr="00910ABD">
              <w:rPr>
                <w:rFonts w:eastAsia="Times New Roman" w:cstheme="minorHAnsi"/>
                <w:b/>
                <w:smallCaps/>
                <w:sz w:val="20"/>
                <w:szCs w:val="18"/>
                <w:lang w:val="en-US"/>
              </w:rPr>
              <w:t>B.  terminology</w:t>
            </w:r>
          </w:p>
          <w:p w:rsidR="00910ABD" w:rsidRPr="00910ABD" w:rsidRDefault="00910ABD" w:rsidP="00910ABD">
            <w:pPr>
              <w:numPr>
                <w:ilvl w:val="0"/>
                <w:numId w:val="2"/>
              </w:numPr>
              <w:spacing w:after="0" w:line="240" w:lineRule="auto"/>
              <w:ind w:left="252" w:hanging="162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910ABD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this criterion assesses the extent to which the student uses appropriate economic terminology.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10AB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910ABD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Terminology relevant to the article is included in the commentary.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910ABD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Terminology relevant to the article is used appropriately throughout the commentary.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0ABD" w:rsidRPr="00910ABD" w:rsidRDefault="00910ABD" w:rsidP="00910AB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0"/>
                <w:lang w:val="en-US"/>
              </w:rPr>
            </w:pPr>
            <w:r w:rsidRPr="00910ABD">
              <w:rPr>
                <w:rFonts w:eastAsia="Times New Roman" w:cstheme="minorHAnsi"/>
                <w:sz w:val="24"/>
                <w:szCs w:val="20"/>
                <w:lang w:val="en-US"/>
              </w:rPr>
              <w:t>/ 2</w:t>
            </w:r>
          </w:p>
        </w:tc>
      </w:tr>
      <w:tr w:rsidR="00910ABD" w:rsidRPr="00910ABD" w:rsidTr="008420AD"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ABD" w:rsidRPr="00910ABD" w:rsidRDefault="00910ABD" w:rsidP="00910ABD">
            <w:pPr>
              <w:spacing w:after="0" w:line="240" w:lineRule="auto"/>
              <w:rPr>
                <w:rFonts w:eastAsia="Times New Roman" w:cstheme="minorHAnsi"/>
                <w:b/>
                <w:smallCaps/>
                <w:sz w:val="20"/>
                <w:szCs w:val="18"/>
                <w:lang w:val="en-US"/>
              </w:rPr>
            </w:pPr>
            <w:r w:rsidRPr="00910ABD">
              <w:rPr>
                <w:rFonts w:eastAsia="Times New Roman" w:cstheme="minorHAnsi"/>
                <w:b/>
                <w:smallCaps/>
                <w:sz w:val="20"/>
                <w:szCs w:val="18"/>
                <w:lang w:val="en-US"/>
              </w:rPr>
              <w:t xml:space="preserve"> C.  Application &amp; Analysis</w:t>
            </w:r>
          </w:p>
          <w:p w:rsidR="00910ABD" w:rsidRPr="00910ABD" w:rsidRDefault="00910ABD" w:rsidP="00910ABD">
            <w:pPr>
              <w:numPr>
                <w:ilvl w:val="0"/>
                <w:numId w:val="2"/>
              </w:numPr>
              <w:spacing w:after="0" w:line="240" w:lineRule="auto"/>
              <w:ind w:left="252" w:hanging="16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10ABD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this criterion assesses the extent to which the student recognizes, understands and applies and analyses economic theory in the context of the article.</w:t>
            </w:r>
          </w:p>
          <w:p w:rsidR="00910ABD" w:rsidRPr="00910ABD" w:rsidRDefault="00910ABD" w:rsidP="00910ABD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10AB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910ABD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Relevant economic theory is applied to the article with limited analysis.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autoSpaceDE w:val="0"/>
              <w:autoSpaceDN w:val="0"/>
              <w:adjustRightInd w:val="0"/>
              <w:spacing w:before="177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910ABD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Relevant economic theory is applied to the article appropriately throughout the commentary with appropriate economic analysis.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910ABD">
              <w:rPr>
                <w:rFonts w:ascii="Arial Narrow" w:eastAsia="MyriadPro-Regular" w:hAnsi="Arial Narrow" w:cs="MyriadPro-Regular"/>
                <w:sz w:val="18"/>
                <w:szCs w:val="18"/>
                <w:lang w:eastAsia="en-CA"/>
              </w:rPr>
              <w:t>Relevant economic theory is applied to the article throughout the commentary with effective economic analysis.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0"/>
                <w:lang w:val="en-US"/>
              </w:rPr>
            </w:pPr>
            <w:r w:rsidRPr="00910ABD">
              <w:rPr>
                <w:rFonts w:eastAsia="Times New Roman" w:cstheme="minorHAnsi"/>
                <w:sz w:val="24"/>
                <w:szCs w:val="20"/>
                <w:lang w:val="en-US"/>
              </w:rPr>
              <w:t>/ 3</w:t>
            </w:r>
          </w:p>
        </w:tc>
      </w:tr>
      <w:tr w:rsidR="00910ABD" w:rsidRPr="00910ABD" w:rsidTr="008420AD"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ABD" w:rsidRPr="00910ABD" w:rsidRDefault="00910ABD" w:rsidP="00910ABD">
            <w:pPr>
              <w:spacing w:after="0" w:line="240" w:lineRule="auto"/>
              <w:rPr>
                <w:rFonts w:eastAsia="Times New Roman" w:cstheme="minorHAnsi"/>
                <w:b/>
                <w:smallCaps/>
                <w:sz w:val="18"/>
                <w:szCs w:val="18"/>
                <w:lang w:val="en-US"/>
              </w:rPr>
            </w:pPr>
            <w:r w:rsidRPr="00910ABD">
              <w:rPr>
                <w:rFonts w:eastAsia="Times New Roman" w:cstheme="minorHAnsi"/>
                <w:b/>
                <w:smallCaps/>
                <w:sz w:val="20"/>
                <w:szCs w:val="18"/>
                <w:lang w:val="en-US"/>
              </w:rPr>
              <w:t>D.  Key Concept</w:t>
            </w:r>
          </w:p>
          <w:p w:rsidR="00910ABD" w:rsidRPr="00910ABD" w:rsidRDefault="00910ABD" w:rsidP="00910ABD">
            <w:pPr>
              <w:numPr>
                <w:ilvl w:val="0"/>
                <w:numId w:val="2"/>
              </w:numPr>
              <w:spacing w:after="0" w:line="240" w:lineRule="auto"/>
              <w:ind w:left="252" w:hanging="162"/>
              <w:rPr>
                <w:rFonts w:ascii="Book Antiqua" w:eastAsia="Times New Roman" w:hAnsi="Book Antiqua" w:cs="Times New Roman"/>
                <w:b/>
                <w:smallCaps/>
                <w:sz w:val="18"/>
                <w:szCs w:val="18"/>
                <w:lang w:val="en-US"/>
              </w:rPr>
            </w:pPr>
            <w:r w:rsidRPr="00910ABD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this</w:t>
            </w:r>
            <w:r w:rsidR="00A9371B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 </w:t>
            </w:r>
            <w:r w:rsidRPr="00910ABD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criterion assesses the extent to which the student recognizes, understands and links a key concept to the article.</w:t>
            </w:r>
          </w:p>
          <w:p w:rsidR="00910ABD" w:rsidRPr="00910ABD" w:rsidRDefault="00910ABD" w:rsidP="00910ABD">
            <w:pPr>
              <w:spacing w:after="0" w:line="240" w:lineRule="auto"/>
              <w:ind w:left="252"/>
              <w:rPr>
                <w:rFonts w:ascii="Book Antiqua" w:eastAsia="Times New Roman" w:hAnsi="Book Antiqua" w:cs="Times New Roman"/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10AB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910ABD">
              <w:rPr>
                <w:rFonts w:ascii="Arial Narrow" w:eastAsia="MyriadPro-Regular" w:hAnsi="Arial Narrow" w:cs="MyriadPro-Regular"/>
                <w:sz w:val="18"/>
                <w:szCs w:val="18"/>
                <w:lang w:eastAsia="en-CA"/>
              </w:rPr>
              <w:t>A key concept is identified and there has been an attempt to link it to the article.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910ABD">
              <w:rPr>
                <w:rFonts w:ascii="Arial Narrow" w:eastAsia="MyriadPro-Regular" w:hAnsi="Arial Narrow" w:cs="MyriadPro-Regular"/>
                <w:sz w:val="18"/>
                <w:szCs w:val="18"/>
                <w:lang w:eastAsia="en-CA"/>
              </w:rPr>
              <w:t>A key concept is identified and the link to the article is partially explained.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910ABD">
              <w:rPr>
                <w:rFonts w:ascii="Arial Narrow" w:eastAsia="MyriadPro-Regular" w:hAnsi="Arial Narrow" w:cs="MyriadPro-Regular"/>
                <w:sz w:val="18"/>
                <w:szCs w:val="18"/>
                <w:lang w:eastAsia="en-CA"/>
              </w:rPr>
              <w:t>A key concept is identified and the link to the article is fully explained.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0"/>
                <w:lang w:val="en-US"/>
              </w:rPr>
            </w:pPr>
            <w:r w:rsidRPr="00910ABD">
              <w:rPr>
                <w:rFonts w:eastAsia="Times New Roman" w:cstheme="minorHAnsi"/>
                <w:sz w:val="24"/>
                <w:szCs w:val="20"/>
                <w:lang w:val="en-US"/>
              </w:rPr>
              <w:t>/ 3</w:t>
            </w:r>
          </w:p>
        </w:tc>
      </w:tr>
      <w:tr w:rsidR="00910ABD" w:rsidRPr="00910ABD" w:rsidTr="008420AD"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ABD" w:rsidRPr="00910ABD" w:rsidRDefault="00910ABD" w:rsidP="00910ABD">
            <w:pPr>
              <w:spacing w:after="0" w:line="240" w:lineRule="auto"/>
              <w:rPr>
                <w:rFonts w:eastAsia="Times New Roman" w:cstheme="minorHAnsi"/>
                <w:b/>
                <w:smallCaps/>
                <w:sz w:val="18"/>
                <w:szCs w:val="18"/>
                <w:lang w:val="en-US"/>
              </w:rPr>
            </w:pPr>
            <w:r w:rsidRPr="00910ABD">
              <w:rPr>
                <w:rFonts w:eastAsia="Times New Roman" w:cstheme="minorHAnsi"/>
                <w:b/>
                <w:smallCaps/>
                <w:sz w:val="18"/>
                <w:szCs w:val="18"/>
                <w:lang w:val="en-US"/>
              </w:rPr>
              <w:t xml:space="preserve"> </w:t>
            </w:r>
            <w:r w:rsidRPr="00910ABD">
              <w:rPr>
                <w:rFonts w:eastAsia="Times New Roman" w:cstheme="minorHAnsi"/>
                <w:b/>
                <w:smallCaps/>
                <w:sz w:val="20"/>
                <w:szCs w:val="18"/>
                <w:lang w:val="en-US"/>
              </w:rPr>
              <w:t>E.  Evaluation</w:t>
            </w:r>
          </w:p>
          <w:p w:rsidR="00910ABD" w:rsidRPr="00910ABD" w:rsidRDefault="00910ABD" w:rsidP="00910ABD">
            <w:pPr>
              <w:numPr>
                <w:ilvl w:val="0"/>
                <w:numId w:val="2"/>
              </w:numPr>
              <w:spacing w:after="0" w:line="240" w:lineRule="auto"/>
              <w:ind w:left="252" w:hanging="18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10ABD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this criterion assesses the extent to which the student’s judgements are supported by reasoned argument</w:t>
            </w:r>
          </w:p>
          <w:p w:rsidR="00910ABD" w:rsidRPr="00910ABD" w:rsidRDefault="00910ABD" w:rsidP="00910ABD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10AB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910ABD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Judgments are made that are supported by limited reasoning.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910ABD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Judgments are made that are supported by appropriate reasoning.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910ABD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Judgments are made that are supported by effective and balanced reasoning.</w:t>
            </w:r>
          </w:p>
          <w:p w:rsidR="00910ABD" w:rsidRPr="00910ABD" w:rsidRDefault="00910ABD" w:rsidP="00910ABD">
            <w:pPr>
              <w:spacing w:after="0" w:line="240" w:lineRule="auto"/>
              <w:ind w:right="72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ABD" w:rsidRPr="00910ABD" w:rsidRDefault="00910ABD" w:rsidP="00910AB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0"/>
                <w:lang w:val="en-US"/>
              </w:rPr>
            </w:pPr>
            <w:r w:rsidRPr="00910ABD">
              <w:rPr>
                <w:rFonts w:eastAsia="Times New Roman" w:cstheme="minorHAnsi"/>
                <w:sz w:val="24"/>
                <w:szCs w:val="20"/>
                <w:lang w:val="en-US"/>
              </w:rPr>
              <w:t>/ 3</w:t>
            </w:r>
          </w:p>
        </w:tc>
      </w:tr>
      <w:tr w:rsidR="0058372F" w:rsidRPr="00910ABD" w:rsidTr="008420AD">
        <w:tc>
          <w:tcPr>
            <w:tcW w:w="6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8372F" w:rsidRPr="0058372F" w:rsidRDefault="0058372F" w:rsidP="0058372F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snapToGrid w:val="0"/>
                <w:sz w:val="16"/>
                <w:szCs w:val="18"/>
                <w:lang w:val="en-US"/>
              </w:rPr>
            </w:pPr>
            <w:r w:rsidRPr="0058372F">
              <w:rPr>
                <w:rFonts w:ascii="Calibri Light" w:eastAsia="Times New Roman" w:hAnsi="Calibri Light" w:cs="Calibri Light"/>
                <w:i/>
                <w:snapToGrid w:val="0"/>
                <w:sz w:val="16"/>
                <w:szCs w:val="18"/>
                <w:lang w:val="en-US"/>
              </w:rPr>
              <w:t>*</w:t>
            </w:r>
            <w:r w:rsidRPr="0058372F">
              <w:rPr>
                <w:rFonts w:ascii="Calibri Light" w:eastAsia="Times New Roman" w:hAnsi="Calibri Light" w:cs="Calibri Light"/>
                <w:i/>
                <w:sz w:val="16"/>
                <w:szCs w:val="18"/>
                <w:lang w:val="en-US"/>
              </w:rPr>
              <w:t xml:space="preserve"> The work does not reach a standard described by the descriptors in each criterion.</w:t>
            </w:r>
          </w:p>
          <w:p w:rsidR="0058372F" w:rsidRPr="00910ABD" w:rsidRDefault="0058372F" w:rsidP="00910A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8372F" w:rsidRPr="00910ABD" w:rsidRDefault="0058372F" w:rsidP="00910A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8372F" w:rsidRDefault="0058372F" w:rsidP="00910ABD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b/>
                <w:szCs w:val="20"/>
                <w:lang w:val="en-US"/>
              </w:rPr>
            </w:pPr>
          </w:p>
          <w:p w:rsidR="0058372F" w:rsidRPr="00910ABD" w:rsidRDefault="0058372F" w:rsidP="00910ABD">
            <w:pPr>
              <w:spacing w:after="0" w:line="240" w:lineRule="auto"/>
              <w:jc w:val="right"/>
              <w:rPr>
                <w:rFonts w:eastAsia="Times New Roman" w:cstheme="minorHAnsi"/>
                <w:b/>
                <w:szCs w:val="20"/>
                <w:lang w:val="en-US"/>
              </w:rPr>
            </w:pPr>
            <w:r w:rsidRPr="00910ABD">
              <w:rPr>
                <w:rFonts w:eastAsia="Times New Roman" w:cstheme="minorHAnsi"/>
                <w:b/>
                <w:szCs w:val="20"/>
                <w:lang w:val="en-US"/>
              </w:rPr>
              <w:t>/ 14</w:t>
            </w:r>
          </w:p>
        </w:tc>
      </w:tr>
    </w:tbl>
    <w:p w:rsidR="0058372F" w:rsidRDefault="0058372F" w:rsidP="00910A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910ABD" w:rsidRPr="0058372F" w:rsidRDefault="00910ABD" w:rsidP="00910A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8372F">
        <w:rPr>
          <w:rFonts w:cstheme="minorHAnsi"/>
          <w:b/>
          <w:bCs/>
        </w:rPr>
        <w:t xml:space="preserve">Criterion F: Rubric </w:t>
      </w:r>
      <w:r w:rsidR="0058372F">
        <w:rPr>
          <w:rFonts w:cstheme="minorHAnsi"/>
          <w:b/>
          <w:bCs/>
        </w:rPr>
        <w:t>R</w:t>
      </w:r>
      <w:r w:rsidRPr="0058372F">
        <w:rPr>
          <w:rFonts w:cstheme="minorHAnsi"/>
          <w:b/>
          <w:bCs/>
        </w:rPr>
        <w:t>equirements</w:t>
      </w:r>
    </w:p>
    <w:p w:rsidR="00910ABD" w:rsidRDefault="00910ABD" w:rsidP="00910AB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</w:rPr>
      </w:pPr>
    </w:p>
    <w:p w:rsidR="00910ABD" w:rsidRDefault="00910ABD" w:rsidP="00910ABD">
      <w:pPr>
        <w:autoSpaceDE w:val="0"/>
        <w:autoSpaceDN w:val="0"/>
        <w:adjustRightInd w:val="0"/>
        <w:spacing w:after="0" w:line="240" w:lineRule="auto"/>
        <w:rPr>
          <w:rFonts w:ascii="Calibri Light" w:eastAsia="MyriadPro-Regular" w:hAnsi="Calibri Light" w:cs="Calibri Light"/>
          <w:sz w:val="20"/>
          <w:szCs w:val="20"/>
        </w:rPr>
      </w:pPr>
      <w:r w:rsidRPr="00910ABD">
        <w:rPr>
          <w:rFonts w:ascii="Calibri Light" w:eastAsia="MyriadPro-Regular" w:hAnsi="Calibri Light" w:cs="Calibri Light"/>
          <w:sz w:val="20"/>
          <w:szCs w:val="20"/>
        </w:rPr>
        <w:t>This criterion assesses the extent to which the student meets the three rubric requirements for the</w:t>
      </w:r>
      <w:r w:rsidR="0058372F">
        <w:rPr>
          <w:rFonts w:ascii="Calibri Light" w:eastAsia="MyriadPro-Regular" w:hAnsi="Calibri Light" w:cs="Calibri Light"/>
          <w:sz w:val="20"/>
          <w:szCs w:val="20"/>
        </w:rPr>
        <w:t xml:space="preserve"> </w:t>
      </w:r>
      <w:r w:rsidRPr="00910ABD">
        <w:rPr>
          <w:rFonts w:ascii="Calibri Light" w:eastAsia="MyriadPro-Regular" w:hAnsi="Calibri Light" w:cs="Calibri Light"/>
          <w:sz w:val="20"/>
          <w:szCs w:val="20"/>
        </w:rPr>
        <w:t>complete portfolio.</w:t>
      </w:r>
    </w:p>
    <w:p w:rsidR="00910ABD" w:rsidRPr="00910ABD" w:rsidRDefault="00910ABD" w:rsidP="00910ABD">
      <w:pPr>
        <w:autoSpaceDE w:val="0"/>
        <w:autoSpaceDN w:val="0"/>
        <w:adjustRightInd w:val="0"/>
        <w:spacing w:after="0" w:line="240" w:lineRule="auto"/>
        <w:rPr>
          <w:rFonts w:ascii="Calibri Light" w:eastAsia="MyriadPro-Regular" w:hAnsi="Calibri Light" w:cs="Calibri Light"/>
          <w:sz w:val="20"/>
          <w:szCs w:val="20"/>
        </w:rPr>
      </w:pPr>
    </w:p>
    <w:p w:rsidR="00910ABD" w:rsidRPr="00910ABD" w:rsidRDefault="00910ABD" w:rsidP="00910ABD">
      <w:pPr>
        <w:autoSpaceDE w:val="0"/>
        <w:autoSpaceDN w:val="0"/>
        <w:adjustRightInd w:val="0"/>
        <w:spacing w:after="0" w:line="240" w:lineRule="auto"/>
        <w:rPr>
          <w:rFonts w:ascii="Calibri Light" w:eastAsia="MyriadPro-Regular" w:hAnsi="Calibri Light" w:cs="Calibri Light"/>
          <w:sz w:val="20"/>
          <w:szCs w:val="20"/>
        </w:rPr>
      </w:pPr>
      <w:r w:rsidRPr="00910ABD">
        <w:rPr>
          <w:rFonts w:ascii="Calibri Light" w:eastAsia="MyriadPro-Regular" w:hAnsi="Calibri Light" w:cs="Calibri Light"/>
          <w:sz w:val="20"/>
          <w:szCs w:val="20"/>
        </w:rPr>
        <w:t>• Each article is based on a different unit of the syllabus.</w:t>
      </w:r>
    </w:p>
    <w:p w:rsidR="00910ABD" w:rsidRPr="00910ABD" w:rsidRDefault="00910ABD" w:rsidP="00910ABD">
      <w:pPr>
        <w:autoSpaceDE w:val="0"/>
        <w:autoSpaceDN w:val="0"/>
        <w:adjustRightInd w:val="0"/>
        <w:spacing w:after="0" w:line="240" w:lineRule="auto"/>
        <w:rPr>
          <w:rFonts w:ascii="Calibri Light" w:eastAsia="MyriadPro-Regular" w:hAnsi="Calibri Light" w:cs="Calibri Light"/>
          <w:sz w:val="20"/>
          <w:szCs w:val="20"/>
        </w:rPr>
      </w:pPr>
      <w:r w:rsidRPr="00910ABD">
        <w:rPr>
          <w:rFonts w:ascii="Calibri Light" w:eastAsia="MyriadPro-Regular" w:hAnsi="Calibri Light" w:cs="Calibri Light"/>
          <w:sz w:val="20"/>
          <w:szCs w:val="20"/>
        </w:rPr>
        <w:t>• Each article is taken from a different and appropriate source.</w:t>
      </w:r>
    </w:p>
    <w:p w:rsidR="00880AE6" w:rsidRDefault="00910ABD" w:rsidP="00880AE6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24"/>
          <w:szCs w:val="24"/>
        </w:rPr>
      </w:pPr>
      <w:r w:rsidRPr="00910ABD">
        <w:rPr>
          <w:rFonts w:ascii="Calibri Light" w:eastAsia="MyriadPro-Regular" w:hAnsi="Calibri Light" w:cs="Calibri Light"/>
          <w:sz w:val="20"/>
          <w:szCs w:val="20"/>
        </w:rPr>
        <w:t>• Each article was published no earlier than one year before the writing of the commentary.</w:t>
      </w:r>
    </w:p>
    <w:tbl>
      <w:tblPr>
        <w:tblpPr w:leftFromText="180" w:rightFromText="180" w:vertAnchor="text" w:horzAnchor="margin" w:tblpX="85" w:tblpY="3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8959"/>
      </w:tblGrid>
      <w:tr w:rsidR="0058372F" w:rsidRPr="0058372F" w:rsidTr="0058372F">
        <w:tc>
          <w:tcPr>
            <w:tcW w:w="689" w:type="dxa"/>
            <w:shd w:val="clear" w:color="auto" w:fill="E6E6E6"/>
          </w:tcPr>
          <w:p w:rsidR="0058372F" w:rsidRPr="0058372F" w:rsidRDefault="0058372F" w:rsidP="0058372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en-US"/>
              </w:rPr>
            </w:pPr>
            <w:r w:rsidRPr="0058372F">
              <w:rPr>
                <w:rFonts w:ascii="Calibri" w:eastAsia="Times New Roman" w:hAnsi="Calibri" w:cs="Times New Roman"/>
                <w:b/>
                <w:sz w:val="20"/>
                <w:lang w:val="en-US"/>
              </w:rPr>
              <w:t xml:space="preserve">Level </w:t>
            </w:r>
          </w:p>
        </w:tc>
        <w:tc>
          <w:tcPr>
            <w:tcW w:w="8959" w:type="dxa"/>
            <w:shd w:val="clear" w:color="auto" w:fill="E6E6E6"/>
          </w:tcPr>
          <w:p w:rsidR="0058372F" w:rsidRPr="0058372F" w:rsidRDefault="0058372F" w:rsidP="0058372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en-US"/>
              </w:rPr>
            </w:pPr>
            <w:r w:rsidRPr="0058372F">
              <w:rPr>
                <w:rFonts w:ascii="Calibri" w:eastAsia="Times New Roman" w:hAnsi="Calibri" w:cs="Times New Roman"/>
                <w:b/>
                <w:sz w:val="20"/>
                <w:lang w:val="en-US"/>
              </w:rPr>
              <w:t>Descriptor</w:t>
            </w:r>
          </w:p>
        </w:tc>
      </w:tr>
      <w:tr w:rsidR="0058372F" w:rsidRPr="0058372F" w:rsidTr="0058372F">
        <w:tc>
          <w:tcPr>
            <w:tcW w:w="689" w:type="dxa"/>
            <w:shd w:val="clear" w:color="auto" w:fill="auto"/>
          </w:tcPr>
          <w:p w:rsidR="0058372F" w:rsidRPr="0058372F" w:rsidRDefault="0058372F" w:rsidP="0058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58372F">
              <w:rPr>
                <w:rFonts w:ascii="Calibri" w:eastAsia="Times New Roman" w:hAnsi="Calibri" w:cs="Times New Roman"/>
                <w:sz w:val="20"/>
                <w:lang w:val="en-US"/>
              </w:rPr>
              <w:t>0</w:t>
            </w:r>
          </w:p>
        </w:tc>
        <w:tc>
          <w:tcPr>
            <w:tcW w:w="8959" w:type="dxa"/>
            <w:shd w:val="clear" w:color="auto" w:fill="auto"/>
          </w:tcPr>
          <w:p w:rsidR="0058372F" w:rsidRPr="0058372F" w:rsidRDefault="0058372F" w:rsidP="00583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58372F">
              <w:rPr>
                <w:rFonts w:ascii="Calibri" w:eastAsia="Times New Roman" w:hAnsi="Calibri" w:cs="Times New Roman"/>
                <w:sz w:val="20"/>
                <w:lang w:val="en-US"/>
              </w:rPr>
              <w:t>The work does not reach a standard described by the descriptors below.</w:t>
            </w:r>
          </w:p>
        </w:tc>
      </w:tr>
      <w:tr w:rsidR="0058372F" w:rsidRPr="0058372F" w:rsidTr="0058372F">
        <w:tc>
          <w:tcPr>
            <w:tcW w:w="689" w:type="dxa"/>
            <w:shd w:val="clear" w:color="auto" w:fill="auto"/>
          </w:tcPr>
          <w:p w:rsidR="0058372F" w:rsidRPr="0058372F" w:rsidRDefault="0058372F" w:rsidP="0058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58372F">
              <w:rPr>
                <w:rFonts w:ascii="Calibri" w:eastAsia="Times New Roman" w:hAnsi="Calibri" w:cs="Times New Roman"/>
                <w:sz w:val="20"/>
                <w:lang w:val="en-US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:rsidR="0058372F" w:rsidRPr="0058372F" w:rsidRDefault="0058372F" w:rsidP="00583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lang w:val="en-US"/>
              </w:rPr>
              <w:t>One</w:t>
            </w:r>
            <w:r w:rsidRPr="0058372F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rubric requirement</w:t>
            </w:r>
            <w:r>
              <w:rPr>
                <w:rFonts w:ascii="Calibri" w:eastAsia="Times New Roman" w:hAnsi="Calibri" w:cs="Times New Roman"/>
                <w:sz w:val="20"/>
                <w:lang w:val="en-US"/>
              </w:rPr>
              <w:t xml:space="preserve"> is</w:t>
            </w:r>
            <w:r w:rsidRPr="0058372F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met.</w:t>
            </w:r>
          </w:p>
        </w:tc>
      </w:tr>
      <w:tr w:rsidR="0058372F" w:rsidRPr="0058372F" w:rsidTr="0058372F">
        <w:tc>
          <w:tcPr>
            <w:tcW w:w="689" w:type="dxa"/>
            <w:shd w:val="clear" w:color="auto" w:fill="auto"/>
          </w:tcPr>
          <w:p w:rsidR="0058372F" w:rsidRPr="0058372F" w:rsidRDefault="0058372F" w:rsidP="0058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58372F">
              <w:rPr>
                <w:rFonts w:ascii="Calibri" w:eastAsia="Times New Roman" w:hAnsi="Calibri" w:cs="Times New Roman"/>
                <w:sz w:val="20"/>
                <w:lang w:val="en-US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:rsidR="0058372F" w:rsidRPr="0058372F" w:rsidRDefault="0058372F" w:rsidP="00583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lang w:val="en-US"/>
              </w:rPr>
              <w:t xml:space="preserve">Two </w:t>
            </w:r>
            <w:r w:rsidRPr="0058372F">
              <w:rPr>
                <w:rFonts w:ascii="Calibri" w:eastAsia="Times New Roman" w:hAnsi="Calibri" w:cs="Times New Roman"/>
                <w:sz w:val="20"/>
                <w:lang w:val="en-US"/>
              </w:rPr>
              <w:t>rubric requirements are met.</w:t>
            </w:r>
          </w:p>
        </w:tc>
      </w:tr>
      <w:tr w:rsidR="0058372F" w:rsidRPr="0058372F" w:rsidTr="0058372F">
        <w:tc>
          <w:tcPr>
            <w:tcW w:w="689" w:type="dxa"/>
            <w:shd w:val="clear" w:color="auto" w:fill="auto"/>
          </w:tcPr>
          <w:p w:rsidR="0058372F" w:rsidRPr="0058372F" w:rsidRDefault="0058372F" w:rsidP="0058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58372F">
              <w:rPr>
                <w:rFonts w:ascii="Calibri" w:eastAsia="Times New Roman" w:hAnsi="Calibri" w:cs="Times New Roman"/>
                <w:sz w:val="20"/>
                <w:lang w:val="en-US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:rsidR="0058372F" w:rsidRPr="0058372F" w:rsidRDefault="0058372F" w:rsidP="00583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lang w:val="en-US"/>
              </w:rPr>
              <w:t>Three</w:t>
            </w:r>
            <w:r w:rsidRPr="0058372F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rubric requirements are met.</w:t>
            </w:r>
          </w:p>
        </w:tc>
      </w:tr>
    </w:tbl>
    <w:p w:rsidR="00880AE6" w:rsidRPr="0058372F" w:rsidRDefault="00880AE6" w:rsidP="00880A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sectPr w:rsidR="00880AE6" w:rsidRPr="0058372F" w:rsidSect="00880AE6">
      <w:headerReference w:type="default" r:id="rId8"/>
      <w:footerReference w:type="default" r:id="rId9"/>
      <w:pgSz w:w="12240" w:h="15840"/>
      <w:pgMar w:top="1440" w:right="117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4DF" w:rsidRDefault="002974DF" w:rsidP="0058372F">
      <w:pPr>
        <w:spacing w:after="0" w:line="240" w:lineRule="auto"/>
      </w:pPr>
      <w:r>
        <w:separator/>
      </w:r>
    </w:p>
  </w:endnote>
  <w:endnote w:type="continuationSeparator" w:id="0">
    <w:p w:rsidR="002974DF" w:rsidRDefault="002974DF" w:rsidP="0058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 Light" w:hAnsi="Calibri Light" w:cs="Calibri Light"/>
        <w:i/>
        <w:sz w:val="16"/>
        <w:szCs w:val="18"/>
      </w:rPr>
      <w:id w:val="-48778014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i/>
            <w:sz w:val="16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14494" w:rsidRPr="00F14494" w:rsidRDefault="00F14494">
            <w:pPr>
              <w:pStyle w:val="Footer"/>
              <w:jc w:val="right"/>
              <w:rPr>
                <w:rFonts w:ascii="Calibri Light" w:hAnsi="Calibri Light" w:cs="Calibri Light"/>
                <w:i/>
                <w:sz w:val="16"/>
                <w:szCs w:val="18"/>
              </w:rPr>
            </w:pPr>
            <w:r w:rsidRPr="00F14494">
              <w:rPr>
                <w:rFonts w:ascii="Calibri Light" w:hAnsi="Calibri Light" w:cs="Calibri Light"/>
                <w:i/>
                <w:sz w:val="16"/>
                <w:szCs w:val="18"/>
              </w:rPr>
              <w:t xml:space="preserve">Page </w:t>
            </w:r>
            <w:r w:rsidRPr="00F14494">
              <w:rPr>
                <w:rFonts w:ascii="Calibri Light" w:hAnsi="Calibri Light" w:cs="Calibri Light"/>
                <w:bCs/>
                <w:i/>
                <w:sz w:val="16"/>
                <w:szCs w:val="18"/>
              </w:rPr>
              <w:fldChar w:fldCharType="begin"/>
            </w:r>
            <w:r w:rsidRPr="00F14494">
              <w:rPr>
                <w:rFonts w:ascii="Calibri Light" w:hAnsi="Calibri Light" w:cs="Calibri Light"/>
                <w:bCs/>
                <w:i/>
                <w:sz w:val="16"/>
                <w:szCs w:val="18"/>
              </w:rPr>
              <w:instrText xml:space="preserve"> PAGE </w:instrText>
            </w:r>
            <w:r w:rsidRPr="00F14494">
              <w:rPr>
                <w:rFonts w:ascii="Calibri Light" w:hAnsi="Calibri Light" w:cs="Calibri Light"/>
                <w:bCs/>
                <w:i/>
                <w:sz w:val="16"/>
                <w:szCs w:val="18"/>
              </w:rPr>
              <w:fldChar w:fldCharType="separate"/>
            </w:r>
            <w:r w:rsidR="002974DF">
              <w:rPr>
                <w:rFonts w:ascii="Calibri Light" w:hAnsi="Calibri Light" w:cs="Calibri Light"/>
                <w:bCs/>
                <w:i/>
                <w:noProof/>
                <w:sz w:val="16"/>
                <w:szCs w:val="18"/>
              </w:rPr>
              <w:t>1</w:t>
            </w:r>
            <w:r w:rsidRPr="00F14494">
              <w:rPr>
                <w:rFonts w:ascii="Calibri Light" w:hAnsi="Calibri Light" w:cs="Calibri Light"/>
                <w:bCs/>
                <w:i/>
                <w:sz w:val="16"/>
                <w:szCs w:val="18"/>
              </w:rPr>
              <w:fldChar w:fldCharType="end"/>
            </w:r>
            <w:r w:rsidRPr="00F14494">
              <w:rPr>
                <w:rFonts w:ascii="Calibri Light" w:hAnsi="Calibri Light" w:cs="Calibri Light"/>
                <w:i/>
                <w:sz w:val="16"/>
                <w:szCs w:val="18"/>
              </w:rPr>
              <w:t xml:space="preserve"> of </w:t>
            </w:r>
            <w:r w:rsidRPr="00F14494">
              <w:rPr>
                <w:rFonts w:ascii="Calibri Light" w:hAnsi="Calibri Light" w:cs="Calibri Light"/>
                <w:bCs/>
                <w:i/>
                <w:sz w:val="16"/>
                <w:szCs w:val="18"/>
              </w:rPr>
              <w:fldChar w:fldCharType="begin"/>
            </w:r>
            <w:r w:rsidRPr="00F14494">
              <w:rPr>
                <w:rFonts w:ascii="Calibri Light" w:hAnsi="Calibri Light" w:cs="Calibri Light"/>
                <w:bCs/>
                <w:i/>
                <w:sz w:val="16"/>
                <w:szCs w:val="18"/>
              </w:rPr>
              <w:instrText xml:space="preserve"> NUMPAGES  </w:instrText>
            </w:r>
            <w:r w:rsidRPr="00F14494">
              <w:rPr>
                <w:rFonts w:ascii="Calibri Light" w:hAnsi="Calibri Light" w:cs="Calibri Light"/>
                <w:bCs/>
                <w:i/>
                <w:sz w:val="16"/>
                <w:szCs w:val="18"/>
              </w:rPr>
              <w:fldChar w:fldCharType="separate"/>
            </w:r>
            <w:r w:rsidR="002974DF">
              <w:rPr>
                <w:rFonts w:ascii="Calibri Light" w:hAnsi="Calibri Light" w:cs="Calibri Light"/>
                <w:bCs/>
                <w:i/>
                <w:noProof/>
                <w:sz w:val="16"/>
                <w:szCs w:val="18"/>
              </w:rPr>
              <w:t>1</w:t>
            </w:r>
            <w:r w:rsidRPr="00F14494">
              <w:rPr>
                <w:rFonts w:ascii="Calibri Light" w:hAnsi="Calibri Light" w:cs="Calibri Light"/>
                <w:bCs/>
                <w:i/>
                <w:sz w:val="16"/>
                <w:szCs w:val="18"/>
              </w:rPr>
              <w:fldChar w:fldCharType="end"/>
            </w:r>
          </w:p>
        </w:sdtContent>
      </w:sdt>
    </w:sdtContent>
  </w:sdt>
  <w:p w:rsidR="00F14494" w:rsidRDefault="00F14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4DF" w:rsidRDefault="002974DF" w:rsidP="0058372F">
      <w:pPr>
        <w:spacing w:after="0" w:line="240" w:lineRule="auto"/>
      </w:pPr>
      <w:r>
        <w:separator/>
      </w:r>
    </w:p>
  </w:footnote>
  <w:footnote w:type="continuationSeparator" w:id="0">
    <w:p w:rsidR="002974DF" w:rsidRDefault="002974DF" w:rsidP="0058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2F" w:rsidRPr="0058372F" w:rsidRDefault="0058372F">
    <w:pPr>
      <w:pStyle w:val="Header"/>
      <w:rPr>
        <w:rFonts w:ascii="Calibri Light" w:hAnsi="Calibri Light" w:cs="Calibri Light"/>
        <w:i/>
        <w:sz w:val="18"/>
      </w:rPr>
    </w:pPr>
    <w:r w:rsidRPr="0058372F">
      <w:rPr>
        <w:rFonts w:ascii="Calibri Light" w:hAnsi="Calibri Light" w:cs="Calibri Light"/>
        <w:i/>
        <w:sz w:val="18"/>
      </w:rPr>
      <w:t>IB Economics (2022)</w:t>
    </w:r>
  </w:p>
  <w:p w:rsidR="0058372F" w:rsidRDefault="005837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1805"/>
    <w:multiLevelType w:val="hybridMultilevel"/>
    <w:tmpl w:val="703E62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66A2E"/>
    <w:multiLevelType w:val="hybridMultilevel"/>
    <w:tmpl w:val="9EB40556"/>
    <w:lvl w:ilvl="0" w:tplc="EC784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266B30"/>
    <w:multiLevelType w:val="hybridMultilevel"/>
    <w:tmpl w:val="D1FE73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77F4E"/>
    <w:multiLevelType w:val="hybridMultilevel"/>
    <w:tmpl w:val="3CCE3E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E6"/>
    <w:rsid w:val="000B18CE"/>
    <w:rsid w:val="00234091"/>
    <w:rsid w:val="002974DF"/>
    <w:rsid w:val="00343703"/>
    <w:rsid w:val="003A3984"/>
    <w:rsid w:val="005315BB"/>
    <w:rsid w:val="0058372F"/>
    <w:rsid w:val="00713402"/>
    <w:rsid w:val="007805AE"/>
    <w:rsid w:val="008420AD"/>
    <w:rsid w:val="00880AE6"/>
    <w:rsid w:val="00910ABD"/>
    <w:rsid w:val="009610E6"/>
    <w:rsid w:val="00A60538"/>
    <w:rsid w:val="00A862AA"/>
    <w:rsid w:val="00A9371B"/>
    <w:rsid w:val="00AD30CD"/>
    <w:rsid w:val="00C8646A"/>
    <w:rsid w:val="00CD148B"/>
    <w:rsid w:val="00F1252B"/>
    <w:rsid w:val="00F14494"/>
    <w:rsid w:val="00F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72F"/>
  </w:style>
  <w:style w:type="paragraph" w:styleId="Footer">
    <w:name w:val="footer"/>
    <w:basedOn w:val="Normal"/>
    <w:link w:val="FooterChar"/>
    <w:uiPriority w:val="99"/>
    <w:unhideWhenUsed/>
    <w:rsid w:val="00583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72F"/>
  </w:style>
  <w:style w:type="paragraph" w:styleId="BalloonText">
    <w:name w:val="Balloon Text"/>
    <w:basedOn w:val="Normal"/>
    <w:link w:val="BalloonTextChar"/>
    <w:uiPriority w:val="99"/>
    <w:semiHidden/>
    <w:unhideWhenUsed/>
    <w:rsid w:val="00583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72F"/>
  </w:style>
  <w:style w:type="paragraph" w:styleId="Footer">
    <w:name w:val="footer"/>
    <w:basedOn w:val="Normal"/>
    <w:link w:val="FooterChar"/>
    <w:uiPriority w:val="99"/>
    <w:unhideWhenUsed/>
    <w:rsid w:val="00583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72F"/>
  </w:style>
  <w:style w:type="paragraph" w:styleId="BalloonText">
    <w:name w:val="Balloon Text"/>
    <w:basedOn w:val="Normal"/>
    <w:link w:val="BalloonTextChar"/>
    <w:uiPriority w:val="99"/>
    <w:semiHidden/>
    <w:unhideWhenUsed/>
    <w:rsid w:val="00583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Messere, Pat</dc:creator>
  <cp:lastModifiedBy>Pat Messere</cp:lastModifiedBy>
  <cp:revision>12</cp:revision>
  <cp:lastPrinted>2020-09-11T15:56:00Z</cp:lastPrinted>
  <dcterms:created xsi:type="dcterms:W3CDTF">2020-09-11T15:11:00Z</dcterms:created>
  <dcterms:modified xsi:type="dcterms:W3CDTF">2020-12-29T04:15:00Z</dcterms:modified>
</cp:coreProperties>
</file>